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4362" w14:textId="77777777" w:rsidR="005F26FE" w:rsidRDefault="00C64550" w:rsidP="005F26FE">
      <w:pPr>
        <w:autoSpaceDE w:val="0"/>
        <w:autoSpaceDN w:val="0"/>
        <w:adjustRightInd w:val="0"/>
        <w:spacing w:before="120" w:after="120" w:line="240" w:lineRule="auto"/>
        <w:ind w:left="-630"/>
        <w:jc w:val="center"/>
        <w:rPr>
          <w:rFonts w:cstheme="minorHAnsi"/>
          <w:b/>
          <w:sz w:val="40"/>
          <w:szCs w:val="40"/>
        </w:rPr>
      </w:pPr>
      <w:r w:rsidRPr="00C64550"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DE41649" wp14:editId="40B8840B">
            <wp:simplePos x="0" y="0"/>
            <wp:positionH relativeFrom="column">
              <wp:posOffset>4650740</wp:posOffset>
            </wp:positionH>
            <wp:positionV relativeFrom="paragraph">
              <wp:posOffset>0</wp:posOffset>
            </wp:positionV>
            <wp:extent cx="1712595" cy="348615"/>
            <wp:effectExtent l="0" t="0" r="1905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organ\Downloads\ColorWhiteBackgroun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DFDE57" w14:textId="77777777" w:rsidR="00EC3F84" w:rsidRDefault="004D3A8A" w:rsidP="004D3A8A">
      <w:pPr>
        <w:autoSpaceDE w:val="0"/>
        <w:autoSpaceDN w:val="0"/>
        <w:adjustRightInd w:val="0"/>
        <w:spacing w:before="120" w:after="120" w:line="240" w:lineRule="auto"/>
        <w:ind w:left="-630" w:right="-180" w:firstLine="450"/>
        <w:jc w:val="center"/>
        <w:rPr>
          <w:rFonts w:ascii="Museo Slab 500" w:hAnsi="Museo Slab 500" w:cstheme="minorHAnsi"/>
          <w:b/>
          <w:sz w:val="24"/>
          <w:szCs w:val="24"/>
        </w:rPr>
      </w:pPr>
      <w:r>
        <w:rPr>
          <w:rFonts w:ascii="Museo Slab 500" w:hAnsi="Museo Slab 500" w:cstheme="minorHAnsi"/>
          <w:b/>
          <w:sz w:val="24"/>
          <w:szCs w:val="24"/>
        </w:rPr>
        <w:t>Backflow Prevention &amp; Cross-c</w:t>
      </w:r>
      <w:r w:rsidR="00B409CE">
        <w:rPr>
          <w:rFonts w:ascii="Museo Slab 500" w:hAnsi="Museo Slab 500" w:cstheme="minorHAnsi"/>
          <w:b/>
          <w:sz w:val="24"/>
          <w:szCs w:val="24"/>
        </w:rPr>
        <w:t>onnection Control</w:t>
      </w:r>
      <w:r w:rsidR="000C3CC2">
        <w:rPr>
          <w:rFonts w:ascii="Museo Slab 500" w:hAnsi="Museo Slab 500" w:cstheme="minorHAnsi"/>
          <w:b/>
          <w:sz w:val="24"/>
          <w:szCs w:val="24"/>
        </w:rPr>
        <w:t xml:space="preserve"> Rule</w:t>
      </w:r>
      <w:r w:rsidR="00C0439A">
        <w:rPr>
          <w:rFonts w:ascii="Museo Slab 500" w:hAnsi="Museo Slab 500" w:cstheme="minorHAnsi"/>
          <w:b/>
          <w:sz w:val="24"/>
          <w:szCs w:val="24"/>
        </w:rPr>
        <w:t xml:space="preserve"> </w:t>
      </w:r>
      <w:r>
        <w:rPr>
          <w:rFonts w:ascii="Museo Slab 500" w:hAnsi="Museo Slab 500" w:cstheme="minorHAnsi"/>
          <w:b/>
          <w:sz w:val="24"/>
          <w:szCs w:val="24"/>
        </w:rPr>
        <w:t>Implementation Steps</w:t>
      </w:r>
    </w:p>
    <w:p w14:paraId="4161A458" w14:textId="77777777" w:rsidR="007E1DA0" w:rsidRDefault="007E1DA0" w:rsidP="00904B00">
      <w:pPr>
        <w:autoSpaceDE w:val="0"/>
        <w:autoSpaceDN w:val="0"/>
        <w:adjustRightInd w:val="0"/>
        <w:spacing w:before="120" w:after="120" w:line="240" w:lineRule="auto"/>
        <w:ind w:left="-630" w:right="-180" w:firstLine="450"/>
        <w:jc w:val="center"/>
        <w:rPr>
          <w:rFonts w:ascii="Museo Slab 500" w:hAnsi="Museo Slab 500" w:cstheme="minorHAnsi"/>
          <w:b/>
          <w:sz w:val="24"/>
          <w:szCs w:val="24"/>
        </w:rPr>
      </w:pPr>
      <w:r>
        <w:rPr>
          <w:rFonts w:ascii="Museo Slab 500" w:hAnsi="Museo Slab 500" w:cstheme="minorHAnsi"/>
          <w:b/>
          <w:sz w:val="24"/>
          <w:szCs w:val="24"/>
        </w:rPr>
        <w:t>Non</w:t>
      </w:r>
      <w:r w:rsidR="00463BA6">
        <w:rPr>
          <w:rFonts w:ascii="Museo Slab 500" w:hAnsi="Museo Slab 500" w:cstheme="minorHAnsi"/>
          <w:b/>
          <w:sz w:val="24"/>
          <w:szCs w:val="24"/>
        </w:rPr>
        <w:t>-</w:t>
      </w:r>
      <w:r>
        <w:rPr>
          <w:rFonts w:ascii="Museo Slab 500" w:hAnsi="Museo Slab 500" w:cstheme="minorHAnsi"/>
          <w:b/>
          <w:sz w:val="24"/>
          <w:szCs w:val="24"/>
        </w:rPr>
        <w:t>Community Water Systems</w:t>
      </w:r>
    </w:p>
    <w:p w14:paraId="59EA9DA8" w14:textId="101E9667" w:rsidR="00C82F9E" w:rsidRDefault="00C82F9E" w:rsidP="00904B00">
      <w:pPr>
        <w:autoSpaceDE w:val="0"/>
        <w:autoSpaceDN w:val="0"/>
        <w:adjustRightInd w:val="0"/>
        <w:spacing w:before="120" w:after="120" w:line="240" w:lineRule="auto"/>
        <w:rPr>
          <w:rFonts w:ascii="Trebuchet MS" w:hAnsi="Trebuchet MS" w:cstheme="minorHAnsi"/>
          <w:sz w:val="20"/>
          <w:szCs w:val="20"/>
        </w:rPr>
      </w:pPr>
      <w:r w:rsidRPr="00C82F9E">
        <w:rPr>
          <w:rFonts w:ascii="Trebuchet MS" w:hAnsi="Trebuchet MS" w:cstheme="minorHAnsi"/>
          <w:b/>
          <w:sz w:val="20"/>
          <w:szCs w:val="20"/>
          <w:u w:val="single"/>
        </w:rPr>
        <w:t>Overview:</w:t>
      </w:r>
      <w:r>
        <w:rPr>
          <w:rFonts w:ascii="Trebuchet MS" w:hAnsi="Trebuchet MS" w:cstheme="minorHAnsi"/>
          <w:b/>
          <w:sz w:val="20"/>
          <w:szCs w:val="20"/>
        </w:rPr>
        <w:t xml:space="preserve"> </w:t>
      </w:r>
      <w:r w:rsidR="003155A5" w:rsidRPr="003155A5">
        <w:rPr>
          <w:rFonts w:ascii="Trebuchet MS" w:hAnsi="Trebuchet MS" w:cstheme="minorHAnsi"/>
          <w:bCs/>
          <w:sz w:val="20"/>
          <w:szCs w:val="20"/>
        </w:rPr>
        <w:t xml:space="preserve">This </w:t>
      </w:r>
      <w:r w:rsidR="003155A5">
        <w:rPr>
          <w:rFonts w:ascii="Trebuchet MS" w:hAnsi="Trebuchet MS" w:cstheme="minorHAnsi"/>
          <w:sz w:val="20"/>
          <w:szCs w:val="20"/>
        </w:rPr>
        <w:t>Backflow Prevention and Cross-connection Control (BPCCC) implementation process provides clarification and interpretation of industries best practice recommendations. This document intends to provide non-public water systems steps on how to implement a quality BPCCC program</w:t>
      </w:r>
    </w:p>
    <w:p w14:paraId="553C991D" w14:textId="5F960613" w:rsidR="003155A5" w:rsidRDefault="005F2022" w:rsidP="003155A5">
      <w:pPr>
        <w:autoSpaceDE w:val="0"/>
        <w:autoSpaceDN w:val="0"/>
        <w:adjustRightInd w:val="0"/>
        <w:spacing w:before="120" w:after="120" w:line="240" w:lineRule="auto"/>
        <w:ind w:left="900" w:hanging="90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Step 1. </w:t>
      </w:r>
      <w:r w:rsidR="002874D1">
        <w:rPr>
          <w:rFonts w:ascii="Trebuchet MS" w:hAnsi="Trebuchet MS" w:cstheme="minorHAnsi"/>
          <w:sz w:val="20"/>
          <w:szCs w:val="20"/>
        </w:rPr>
        <w:tab/>
      </w:r>
      <w:r w:rsidR="003155A5">
        <w:rPr>
          <w:rFonts w:ascii="Trebuchet MS" w:hAnsi="Trebuchet MS" w:cstheme="minorHAnsi"/>
          <w:sz w:val="20"/>
          <w:szCs w:val="20"/>
        </w:rPr>
        <w:t>Review ND Backflow Prevention and Cross Control guidance and templates are provided at:</w:t>
      </w:r>
    </w:p>
    <w:p w14:paraId="1170739F" w14:textId="66AB1CCC" w:rsidR="00DD34B4" w:rsidRDefault="003155A5" w:rsidP="003155A5">
      <w:pPr>
        <w:autoSpaceDE w:val="0"/>
        <w:autoSpaceDN w:val="0"/>
        <w:adjustRightInd w:val="0"/>
        <w:spacing w:before="120" w:after="120" w:line="240" w:lineRule="auto"/>
        <w:ind w:left="900" w:hanging="90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ab/>
      </w:r>
      <w:hyperlink r:id="rId8" w:history="1">
        <w:r w:rsidR="004505B3">
          <w:rPr>
            <w:rStyle w:val="Hyperlink"/>
          </w:rPr>
          <w:t>https://deq.nd.gov/MF/BPCCC/</w:t>
        </w:r>
      </w:hyperlink>
      <w:r>
        <w:rPr>
          <w:rFonts w:ascii="Trebuchet MS" w:hAnsi="Trebuchet MS" w:cstheme="minorHAnsi"/>
          <w:sz w:val="20"/>
          <w:szCs w:val="20"/>
        </w:rPr>
        <w:t xml:space="preserve">.  Information regarding Public Water Supply Systems under </w:t>
      </w:r>
      <w:r w:rsidRPr="00C25298">
        <w:rPr>
          <w:rFonts w:ascii="Trebuchet MS" w:hAnsi="Trebuchet MS" w:cstheme="minorHAnsi"/>
          <w:sz w:val="20"/>
          <w:szCs w:val="20"/>
        </w:rPr>
        <w:t>North Dakota Administrative Code 33</w:t>
      </w:r>
      <w:r w:rsidR="00E22AE6">
        <w:rPr>
          <w:rFonts w:ascii="Trebuchet MS" w:hAnsi="Trebuchet MS" w:cstheme="minorHAnsi"/>
          <w:sz w:val="20"/>
          <w:szCs w:val="20"/>
        </w:rPr>
        <w:t>.1</w:t>
      </w:r>
      <w:r w:rsidRPr="00C25298">
        <w:rPr>
          <w:rFonts w:ascii="Trebuchet MS" w:hAnsi="Trebuchet MS" w:cstheme="minorHAnsi"/>
          <w:sz w:val="20"/>
          <w:szCs w:val="20"/>
        </w:rPr>
        <w:t>-17-01-19 the Prot</w:t>
      </w:r>
      <w:r w:rsidR="00C25298" w:rsidRPr="00C25298">
        <w:rPr>
          <w:rFonts w:ascii="Trebuchet MS" w:hAnsi="Trebuchet MS" w:cstheme="minorHAnsi"/>
          <w:sz w:val="20"/>
          <w:szCs w:val="20"/>
        </w:rPr>
        <w:t>e</w:t>
      </w:r>
      <w:r w:rsidRPr="00C25298">
        <w:rPr>
          <w:rFonts w:ascii="Trebuchet MS" w:hAnsi="Trebuchet MS" w:cstheme="minorHAnsi"/>
          <w:sz w:val="20"/>
          <w:szCs w:val="20"/>
        </w:rPr>
        <w:t>ction of Public Water Systems</w:t>
      </w:r>
      <w:r>
        <w:rPr>
          <w:rFonts w:ascii="Trebuchet MS" w:hAnsi="Trebuchet MS" w:cstheme="minorHAnsi"/>
          <w:sz w:val="20"/>
          <w:szCs w:val="20"/>
        </w:rPr>
        <w:t xml:space="preserve"> under and the Approval of Devices or Assemblies 603.2 and Testing 603.4.2 Uniform Plumbing Code can also be found at this link. </w:t>
      </w:r>
    </w:p>
    <w:p w14:paraId="2210683D" w14:textId="77777777" w:rsidR="00DC69DB" w:rsidRPr="005F2022" w:rsidRDefault="00D62589" w:rsidP="00D40D25">
      <w:pPr>
        <w:autoSpaceDE w:val="0"/>
        <w:autoSpaceDN w:val="0"/>
        <w:adjustRightInd w:val="0"/>
        <w:spacing w:before="120" w:after="120" w:line="240" w:lineRule="auto"/>
        <w:ind w:left="900" w:hanging="90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Step 2</w:t>
      </w:r>
      <w:r w:rsidR="005F2022">
        <w:rPr>
          <w:rFonts w:ascii="Trebuchet MS" w:hAnsi="Trebuchet MS" w:cstheme="minorHAnsi"/>
          <w:sz w:val="20"/>
          <w:szCs w:val="20"/>
        </w:rPr>
        <w:t xml:space="preserve">. </w:t>
      </w:r>
      <w:r w:rsidR="002874D1">
        <w:rPr>
          <w:rFonts w:ascii="Trebuchet MS" w:hAnsi="Trebuchet MS" w:cstheme="minorHAnsi"/>
          <w:sz w:val="20"/>
          <w:szCs w:val="20"/>
        </w:rPr>
        <w:tab/>
      </w:r>
      <w:r w:rsidR="005F2022">
        <w:rPr>
          <w:rFonts w:ascii="Trebuchet MS" w:hAnsi="Trebuchet MS" w:cstheme="minorHAnsi"/>
          <w:sz w:val="20"/>
          <w:szCs w:val="20"/>
        </w:rPr>
        <w:t xml:space="preserve">Develop </w:t>
      </w:r>
      <w:r w:rsidR="00A809C7">
        <w:rPr>
          <w:rFonts w:ascii="Trebuchet MS" w:hAnsi="Trebuchet MS" w:cstheme="minorHAnsi"/>
          <w:sz w:val="20"/>
          <w:szCs w:val="20"/>
        </w:rPr>
        <w:t xml:space="preserve">a </w:t>
      </w:r>
      <w:r w:rsidR="005F2022">
        <w:rPr>
          <w:rFonts w:ascii="Trebuchet MS" w:hAnsi="Trebuchet MS" w:cstheme="minorHAnsi"/>
          <w:sz w:val="20"/>
          <w:szCs w:val="20"/>
        </w:rPr>
        <w:t>w</w:t>
      </w:r>
      <w:r w:rsidR="00BD262F" w:rsidRPr="005F2022">
        <w:rPr>
          <w:rFonts w:ascii="Trebuchet MS" w:hAnsi="Trebuchet MS" w:cstheme="minorHAnsi"/>
          <w:sz w:val="20"/>
          <w:szCs w:val="20"/>
        </w:rPr>
        <w:t xml:space="preserve">ritten </w:t>
      </w:r>
      <w:r w:rsidR="005F2022" w:rsidRPr="005F2022">
        <w:rPr>
          <w:rFonts w:ascii="Trebuchet MS" w:hAnsi="Trebuchet MS" w:cstheme="minorHAnsi"/>
          <w:sz w:val="20"/>
          <w:szCs w:val="20"/>
        </w:rPr>
        <w:t>B</w:t>
      </w:r>
      <w:r w:rsidR="00B409CE" w:rsidRPr="005F2022">
        <w:rPr>
          <w:rFonts w:ascii="Trebuchet MS" w:hAnsi="Trebuchet MS" w:cstheme="minorHAnsi"/>
          <w:sz w:val="20"/>
          <w:szCs w:val="20"/>
        </w:rPr>
        <w:t xml:space="preserve">PCCC </w:t>
      </w:r>
      <w:r w:rsidR="005F2022" w:rsidRPr="005F2022">
        <w:rPr>
          <w:rFonts w:ascii="Trebuchet MS" w:hAnsi="Trebuchet MS" w:cstheme="minorHAnsi"/>
          <w:sz w:val="20"/>
          <w:szCs w:val="20"/>
        </w:rPr>
        <w:t>plan which at a minimum includes:</w:t>
      </w:r>
    </w:p>
    <w:p w14:paraId="6A7BBEF4" w14:textId="77777777" w:rsidR="00B409CE" w:rsidRDefault="00B409CE" w:rsidP="00D40D25">
      <w:pPr>
        <w:pStyle w:val="ListParagraph"/>
        <w:numPr>
          <w:ilvl w:val="0"/>
          <w:numId w:val="20"/>
        </w:numPr>
        <w:spacing w:before="120" w:after="12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Establ</w:t>
      </w:r>
      <w:r w:rsidR="007F3172">
        <w:rPr>
          <w:rFonts w:ascii="Trebuchet MS" w:hAnsi="Trebuchet MS" w:cstheme="minorHAnsi"/>
          <w:sz w:val="20"/>
          <w:szCs w:val="20"/>
        </w:rPr>
        <w:t>ish</w:t>
      </w:r>
      <w:r w:rsidR="002874D1">
        <w:rPr>
          <w:rFonts w:ascii="Trebuchet MS" w:hAnsi="Trebuchet MS" w:cstheme="minorHAnsi"/>
          <w:sz w:val="20"/>
          <w:szCs w:val="20"/>
        </w:rPr>
        <w:t>ed legal authority</w:t>
      </w:r>
      <w:r w:rsidR="002A2BDD">
        <w:rPr>
          <w:rFonts w:ascii="Trebuchet MS" w:hAnsi="Trebuchet MS" w:cstheme="minorHAnsi"/>
          <w:sz w:val="20"/>
          <w:szCs w:val="20"/>
        </w:rPr>
        <w:t>, and/or compliance approach</w:t>
      </w:r>
      <w:r w:rsidR="00463BA6">
        <w:rPr>
          <w:rFonts w:ascii="Trebuchet MS" w:hAnsi="Trebuchet MS" w:cstheme="minorHAnsi"/>
          <w:sz w:val="20"/>
          <w:szCs w:val="20"/>
        </w:rPr>
        <w:t>,</w:t>
      </w:r>
      <w:r w:rsidR="006A4453">
        <w:rPr>
          <w:rFonts w:ascii="Trebuchet MS" w:hAnsi="Trebuchet MS" w:cstheme="minorHAnsi"/>
          <w:sz w:val="20"/>
          <w:szCs w:val="20"/>
        </w:rPr>
        <w:t xml:space="preserve"> (</w:t>
      </w:r>
      <w:r w:rsidR="002A2BDD">
        <w:rPr>
          <w:rFonts w:ascii="Trebuchet MS" w:hAnsi="Trebuchet MS" w:cstheme="minorHAnsi"/>
          <w:sz w:val="20"/>
          <w:szCs w:val="20"/>
        </w:rPr>
        <w:t>an established legal authority m</w:t>
      </w:r>
      <w:r w:rsidR="00D62589">
        <w:rPr>
          <w:rFonts w:ascii="Trebuchet MS" w:hAnsi="Trebuchet MS" w:cstheme="minorHAnsi"/>
          <w:sz w:val="20"/>
          <w:szCs w:val="20"/>
        </w:rPr>
        <w:t xml:space="preserve">ay not be required if the supplier has ownership of all service connections and </w:t>
      </w:r>
      <w:r w:rsidR="002A2BDD">
        <w:rPr>
          <w:rFonts w:ascii="Trebuchet MS" w:hAnsi="Trebuchet MS" w:cstheme="minorHAnsi"/>
          <w:sz w:val="20"/>
          <w:szCs w:val="20"/>
        </w:rPr>
        <w:t>internal water supply systems and if the supplier assumes full responsibility for implementation and compliance</w:t>
      </w:r>
      <w:proofErr w:type="gramStart"/>
      <w:r w:rsidR="006A4453">
        <w:rPr>
          <w:rFonts w:ascii="Trebuchet MS" w:hAnsi="Trebuchet MS" w:cstheme="minorHAnsi"/>
          <w:sz w:val="20"/>
          <w:szCs w:val="20"/>
        </w:rPr>
        <w:t>);</w:t>
      </w:r>
      <w:proofErr w:type="gramEnd"/>
      <w:r w:rsidR="007E1DA0">
        <w:rPr>
          <w:rFonts w:ascii="Trebuchet MS" w:hAnsi="Trebuchet MS" w:cstheme="minorHAnsi"/>
          <w:sz w:val="20"/>
          <w:szCs w:val="20"/>
        </w:rPr>
        <w:t xml:space="preserve"> </w:t>
      </w:r>
    </w:p>
    <w:p w14:paraId="28598BD5" w14:textId="77777777" w:rsidR="00B409CE" w:rsidRDefault="002874D1" w:rsidP="00D40D25">
      <w:pPr>
        <w:pStyle w:val="ListParagraph"/>
        <w:numPr>
          <w:ilvl w:val="0"/>
          <w:numId w:val="20"/>
        </w:numPr>
        <w:spacing w:before="120" w:after="12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Documented </w:t>
      </w:r>
      <w:r w:rsidR="00625E43">
        <w:rPr>
          <w:rFonts w:ascii="Trebuchet MS" w:hAnsi="Trebuchet MS" w:cstheme="minorHAnsi"/>
          <w:sz w:val="20"/>
          <w:szCs w:val="20"/>
        </w:rPr>
        <w:t xml:space="preserve">cross connection identification </w:t>
      </w:r>
      <w:r>
        <w:rPr>
          <w:rFonts w:ascii="Trebuchet MS" w:hAnsi="Trebuchet MS" w:cstheme="minorHAnsi"/>
          <w:sz w:val="20"/>
          <w:szCs w:val="20"/>
        </w:rPr>
        <w:t>s</w:t>
      </w:r>
      <w:r w:rsidR="00B409CE">
        <w:rPr>
          <w:rFonts w:ascii="Trebuchet MS" w:hAnsi="Trebuchet MS" w:cstheme="minorHAnsi"/>
          <w:sz w:val="20"/>
          <w:szCs w:val="20"/>
        </w:rPr>
        <w:t>urvey procedure</w:t>
      </w:r>
      <w:r>
        <w:rPr>
          <w:rFonts w:ascii="Trebuchet MS" w:hAnsi="Trebuchet MS" w:cstheme="minorHAnsi"/>
          <w:sz w:val="20"/>
          <w:szCs w:val="20"/>
        </w:rPr>
        <w:t xml:space="preserve"> and/or compliance approach</w:t>
      </w:r>
      <w:r w:rsidR="00861B15">
        <w:rPr>
          <w:rFonts w:ascii="Trebuchet MS" w:hAnsi="Trebuchet MS" w:cstheme="minorHAnsi"/>
          <w:sz w:val="20"/>
          <w:szCs w:val="20"/>
        </w:rPr>
        <w:t>,</w:t>
      </w:r>
      <w:r w:rsidR="00D40D25">
        <w:rPr>
          <w:rFonts w:ascii="Trebuchet MS" w:hAnsi="Trebuchet MS" w:cstheme="minorHAnsi"/>
          <w:sz w:val="20"/>
          <w:szCs w:val="20"/>
        </w:rPr>
        <w:t xml:space="preserve"> (documentation of a survey and </w:t>
      </w:r>
      <w:r w:rsidR="009D24C8">
        <w:rPr>
          <w:rFonts w:ascii="Trebuchet MS" w:hAnsi="Trebuchet MS" w:cstheme="minorHAnsi"/>
          <w:sz w:val="20"/>
          <w:szCs w:val="20"/>
        </w:rPr>
        <w:t xml:space="preserve">its </w:t>
      </w:r>
      <w:r w:rsidR="00D40D25">
        <w:rPr>
          <w:rFonts w:ascii="Trebuchet MS" w:hAnsi="Trebuchet MS" w:cstheme="minorHAnsi"/>
          <w:sz w:val="20"/>
          <w:szCs w:val="20"/>
        </w:rPr>
        <w:t>result</w:t>
      </w:r>
      <w:r w:rsidR="009D24C8">
        <w:rPr>
          <w:rFonts w:ascii="Trebuchet MS" w:hAnsi="Trebuchet MS" w:cstheme="minorHAnsi"/>
          <w:sz w:val="20"/>
          <w:szCs w:val="20"/>
        </w:rPr>
        <w:t>s</w:t>
      </w:r>
      <w:r w:rsidR="00D40D25">
        <w:rPr>
          <w:rFonts w:ascii="Trebuchet MS" w:hAnsi="Trebuchet MS" w:cstheme="minorHAnsi"/>
          <w:sz w:val="20"/>
          <w:szCs w:val="20"/>
        </w:rPr>
        <w:t xml:space="preserve"> is an adequate procedure and approach</w:t>
      </w:r>
      <w:r w:rsidR="007E1DA0">
        <w:rPr>
          <w:rFonts w:ascii="Trebuchet MS" w:hAnsi="Trebuchet MS" w:cstheme="minorHAnsi"/>
          <w:sz w:val="20"/>
          <w:szCs w:val="20"/>
        </w:rPr>
        <w:t xml:space="preserve"> if the supplier assumes full responsibility for implementation and compliance</w:t>
      </w:r>
      <w:proofErr w:type="gramStart"/>
      <w:r w:rsidR="00D40D25">
        <w:rPr>
          <w:rFonts w:ascii="Trebuchet MS" w:hAnsi="Trebuchet MS" w:cstheme="minorHAnsi"/>
          <w:sz w:val="20"/>
          <w:szCs w:val="20"/>
        </w:rPr>
        <w:t>)</w:t>
      </w:r>
      <w:r w:rsidR="006A4453">
        <w:rPr>
          <w:rFonts w:ascii="Trebuchet MS" w:hAnsi="Trebuchet MS" w:cstheme="minorHAnsi"/>
          <w:sz w:val="20"/>
          <w:szCs w:val="20"/>
        </w:rPr>
        <w:t>;</w:t>
      </w:r>
      <w:proofErr w:type="gramEnd"/>
    </w:p>
    <w:p w14:paraId="0E562128" w14:textId="77777777" w:rsidR="00B409CE" w:rsidRPr="00B409CE" w:rsidRDefault="00B409CE" w:rsidP="00D40D25">
      <w:pPr>
        <w:pStyle w:val="ListParagraph"/>
        <w:numPr>
          <w:ilvl w:val="0"/>
          <w:numId w:val="20"/>
        </w:numPr>
        <w:spacing w:before="120" w:after="12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Doc</w:t>
      </w:r>
      <w:r w:rsidR="002874D1">
        <w:rPr>
          <w:rFonts w:ascii="Trebuchet MS" w:hAnsi="Trebuchet MS" w:cstheme="minorHAnsi"/>
          <w:sz w:val="20"/>
          <w:szCs w:val="20"/>
        </w:rPr>
        <w:t xml:space="preserve">umented </w:t>
      </w:r>
      <w:r w:rsidR="006A4453">
        <w:rPr>
          <w:rFonts w:ascii="Trebuchet MS" w:hAnsi="Trebuchet MS" w:cstheme="minorHAnsi"/>
          <w:sz w:val="20"/>
          <w:szCs w:val="20"/>
        </w:rPr>
        <w:t>procedures for</w:t>
      </w:r>
      <w:r w:rsidR="009D24C8">
        <w:rPr>
          <w:rFonts w:ascii="Trebuchet MS" w:hAnsi="Trebuchet MS" w:cstheme="minorHAnsi"/>
          <w:sz w:val="20"/>
          <w:szCs w:val="20"/>
        </w:rPr>
        <w:t xml:space="preserve"> selection </w:t>
      </w:r>
      <w:r w:rsidR="006A4453">
        <w:rPr>
          <w:rFonts w:ascii="Trebuchet MS" w:hAnsi="Trebuchet MS" w:cstheme="minorHAnsi"/>
          <w:sz w:val="20"/>
          <w:szCs w:val="20"/>
        </w:rPr>
        <w:t xml:space="preserve">of </w:t>
      </w:r>
      <w:r w:rsidR="009D24C8">
        <w:rPr>
          <w:rFonts w:ascii="Trebuchet MS" w:hAnsi="Trebuchet MS" w:cstheme="minorHAnsi"/>
          <w:sz w:val="20"/>
          <w:szCs w:val="20"/>
        </w:rPr>
        <w:t xml:space="preserve">backflow prevention </w:t>
      </w:r>
      <w:r w:rsidR="002874D1">
        <w:rPr>
          <w:rFonts w:ascii="Trebuchet MS" w:hAnsi="Trebuchet MS" w:cstheme="minorHAnsi"/>
          <w:sz w:val="20"/>
          <w:szCs w:val="20"/>
        </w:rPr>
        <w:t>assembl</w:t>
      </w:r>
      <w:r w:rsidR="001368E3">
        <w:rPr>
          <w:rFonts w:ascii="Trebuchet MS" w:hAnsi="Trebuchet MS" w:cstheme="minorHAnsi"/>
          <w:sz w:val="20"/>
          <w:szCs w:val="20"/>
        </w:rPr>
        <w:t>ies</w:t>
      </w:r>
      <w:r w:rsidR="00344166">
        <w:rPr>
          <w:rFonts w:ascii="Trebuchet MS" w:hAnsi="Trebuchet MS" w:cstheme="minorHAnsi"/>
          <w:sz w:val="20"/>
          <w:szCs w:val="20"/>
        </w:rPr>
        <w:t xml:space="preserve"> </w:t>
      </w:r>
      <w:r w:rsidR="006A4453">
        <w:rPr>
          <w:rFonts w:ascii="Trebuchet MS" w:hAnsi="Trebuchet MS" w:cstheme="minorHAnsi"/>
          <w:sz w:val="20"/>
          <w:szCs w:val="20"/>
        </w:rPr>
        <w:t>or methods</w:t>
      </w:r>
      <w:r w:rsidR="002874D1">
        <w:rPr>
          <w:rFonts w:ascii="Trebuchet MS" w:hAnsi="Trebuchet MS" w:cstheme="minorHAnsi"/>
          <w:sz w:val="20"/>
          <w:szCs w:val="20"/>
        </w:rPr>
        <w:t xml:space="preserve"> and </w:t>
      </w:r>
      <w:r>
        <w:rPr>
          <w:rFonts w:ascii="Trebuchet MS" w:hAnsi="Trebuchet MS" w:cstheme="minorHAnsi"/>
          <w:sz w:val="20"/>
          <w:szCs w:val="20"/>
        </w:rPr>
        <w:t>installation</w:t>
      </w:r>
      <w:r w:rsidR="00344166">
        <w:rPr>
          <w:rFonts w:ascii="Trebuchet MS" w:hAnsi="Trebuchet MS" w:cstheme="minorHAnsi"/>
          <w:sz w:val="20"/>
          <w:szCs w:val="20"/>
        </w:rPr>
        <w:t>, maintenance, testing and inspection</w:t>
      </w:r>
      <w:r>
        <w:rPr>
          <w:rFonts w:ascii="Trebuchet MS" w:hAnsi="Trebuchet MS" w:cstheme="minorHAnsi"/>
          <w:sz w:val="20"/>
          <w:szCs w:val="20"/>
        </w:rPr>
        <w:t xml:space="preserve"> </w:t>
      </w:r>
      <w:proofErr w:type="gramStart"/>
      <w:r>
        <w:rPr>
          <w:rFonts w:ascii="Trebuchet MS" w:hAnsi="Trebuchet MS" w:cstheme="minorHAnsi"/>
          <w:sz w:val="20"/>
          <w:szCs w:val="20"/>
        </w:rPr>
        <w:t>procedure</w:t>
      </w:r>
      <w:r w:rsidR="006A4453">
        <w:rPr>
          <w:rFonts w:ascii="Trebuchet MS" w:hAnsi="Trebuchet MS" w:cstheme="minorHAnsi"/>
          <w:sz w:val="20"/>
          <w:szCs w:val="20"/>
        </w:rPr>
        <w:t>s;</w:t>
      </w:r>
      <w:proofErr w:type="gramEnd"/>
      <w:r w:rsidR="00D40D25">
        <w:rPr>
          <w:rFonts w:ascii="Trebuchet MS" w:hAnsi="Trebuchet MS" w:cstheme="minorHAnsi"/>
          <w:sz w:val="20"/>
          <w:szCs w:val="20"/>
        </w:rPr>
        <w:t xml:space="preserve"> </w:t>
      </w:r>
    </w:p>
    <w:p w14:paraId="1942A68B" w14:textId="77777777" w:rsidR="00B409CE" w:rsidRDefault="006A4453" w:rsidP="00D40D25">
      <w:pPr>
        <w:pStyle w:val="ListParagraph"/>
        <w:numPr>
          <w:ilvl w:val="0"/>
          <w:numId w:val="20"/>
        </w:numPr>
        <w:spacing w:before="120" w:after="12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Established t</w:t>
      </w:r>
      <w:r w:rsidR="00B409CE">
        <w:rPr>
          <w:rFonts w:ascii="Trebuchet MS" w:hAnsi="Trebuchet MS" w:cstheme="minorHAnsi"/>
          <w:sz w:val="20"/>
          <w:szCs w:val="20"/>
        </w:rPr>
        <w:t xml:space="preserve">racking </w:t>
      </w:r>
      <w:r w:rsidR="005F2022">
        <w:rPr>
          <w:rFonts w:ascii="Trebuchet MS" w:hAnsi="Trebuchet MS" w:cstheme="minorHAnsi"/>
          <w:sz w:val="20"/>
          <w:szCs w:val="20"/>
        </w:rPr>
        <w:t>mechanism</w:t>
      </w:r>
      <w:r w:rsidR="009819C8">
        <w:rPr>
          <w:rFonts w:ascii="Trebuchet MS" w:hAnsi="Trebuchet MS" w:cstheme="minorHAnsi"/>
          <w:sz w:val="20"/>
          <w:szCs w:val="20"/>
        </w:rPr>
        <w:t xml:space="preserve"> description</w:t>
      </w:r>
      <w:r w:rsidR="009D24C8">
        <w:rPr>
          <w:rFonts w:ascii="Trebuchet MS" w:hAnsi="Trebuchet MS" w:cstheme="minorHAnsi"/>
          <w:sz w:val="20"/>
          <w:szCs w:val="20"/>
        </w:rPr>
        <w:t>,</w:t>
      </w:r>
      <w:r w:rsidR="009819C8">
        <w:rPr>
          <w:rFonts w:ascii="Trebuchet MS" w:hAnsi="Trebuchet MS" w:cstheme="minorHAnsi"/>
          <w:sz w:val="20"/>
          <w:szCs w:val="20"/>
        </w:rPr>
        <w:t xml:space="preserve"> (for example:</w:t>
      </w:r>
      <w:r w:rsidR="009D24C8">
        <w:rPr>
          <w:rFonts w:ascii="Trebuchet MS" w:hAnsi="Trebuchet MS" w:cstheme="minorHAnsi"/>
          <w:sz w:val="20"/>
          <w:szCs w:val="20"/>
        </w:rPr>
        <w:t xml:space="preserve"> </w:t>
      </w:r>
      <w:r w:rsidR="00D94342">
        <w:rPr>
          <w:rFonts w:ascii="Trebuchet MS" w:hAnsi="Trebuchet MS" w:cstheme="minorHAnsi"/>
          <w:sz w:val="20"/>
          <w:szCs w:val="20"/>
        </w:rPr>
        <w:t xml:space="preserve">list, spreadsheet, </w:t>
      </w:r>
      <w:r w:rsidR="009819C8">
        <w:rPr>
          <w:rFonts w:ascii="Trebuchet MS" w:hAnsi="Trebuchet MS" w:cstheme="minorHAnsi"/>
          <w:sz w:val="20"/>
          <w:szCs w:val="20"/>
        </w:rPr>
        <w:t>etc.</w:t>
      </w:r>
      <w:proofErr w:type="gramStart"/>
      <w:r w:rsidR="009819C8">
        <w:rPr>
          <w:rFonts w:ascii="Trebuchet MS" w:hAnsi="Trebuchet MS" w:cstheme="minorHAnsi"/>
          <w:sz w:val="20"/>
          <w:szCs w:val="20"/>
        </w:rPr>
        <w:t>);</w:t>
      </w:r>
      <w:proofErr w:type="gramEnd"/>
    </w:p>
    <w:p w14:paraId="2CFBE004" w14:textId="77777777" w:rsidR="002874D1" w:rsidRDefault="00B409CE" w:rsidP="00D40D25">
      <w:pPr>
        <w:pStyle w:val="ListParagraph"/>
        <w:numPr>
          <w:ilvl w:val="0"/>
          <w:numId w:val="20"/>
        </w:numPr>
        <w:spacing w:before="120" w:after="12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Verification of </w:t>
      </w:r>
      <w:r w:rsidR="00344166">
        <w:rPr>
          <w:rFonts w:ascii="Trebuchet MS" w:hAnsi="Trebuchet MS" w:cstheme="minorHAnsi"/>
          <w:sz w:val="20"/>
          <w:szCs w:val="20"/>
        </w:rPr>
        <w:t xml:space="preserve">credentials for </w:t>
      </w:r>
      <w:r w:rsidR="009819C8">
        <w:rPr>
          <w:rFonts w:ascii="Trebuchet MS" w:hAnsi="Trebuchet MS" w:cstheme="minorHAnsi"/>
          <w:sz w:val="20"/>
          <w:szCs w:val="20"/>
        </w:rPr>
        <w:t>certified</w:t>
      </w:r>
      <w:r w:rsidR="00344166">
        <w:rPr>
          <w:rFonts w:ascii="Trebuchet MS" w:hAnsi="Trebuchet MS" w:cstheme="minorHAnsi"/>
          <w:sz w:val="20"/>
          <w:szCs w:val="20"/>
        </w:rPr>
        <w:t xml:space="preserve"> tester of backflow prevention assemblies</w:t>
      </w:r>
      <w:r w:rsidR="009819C8">
        <w:rPr>
          <w:rFonts w:ascii="Trebuchet MS" w:hAnsi="Trebuchet MS" w:cstheme="minorHAnsi"/>
          <w:sz w:val="20"/>
          <w:szCs w:val="20"/>
        </w:rPr>
        <w:t>.</w:t>
      </w:r>
      <w:r>
        <w:rPr>
          <w:rFonts w:ascii="Trebuchet MS" w:hAnsi="Trebuchet MS" w:cstheme="minorHAnsi"/>
          <w:sz w:val="20"/>
          <w:szCs w:val="20"/>
        </w:rPr>
        <w:t xml:space="preserve"> </w:t>
      </w:r>
    </w:p>
    <w:p w14:paraId="55CDB1CC" w14:textId="77777777" w:rsidR="002874D1" w:rsidRDefault="002874D1" w:rsidP="00D40D25">
      <w:pPr>
        <w:tabs>
          <w:tab w:val="left" w:pos="900"/>
        </w:tabs>
        <w:spacing w:before="120" w:after="120"/>
        <w:ind w:left="900" w:hanging="900"/>
        <w:rPr>
          <w:rFonts w:ascii="Trebuchet MS" w:hAnsi="Trebuchet MS" w:cstheme="minorHAnsi"/>
          <w:sz w:val="20"/>
          <w:szCs w:val="20"/>
        </w:rPr>
      </w:pPr>
      <w:r w:rsidRPr="002874D1">
        <w:rPr>
          <w:rFonts w:ascii="Trebuchet MS" w:hAnsi="Trebuchet MS" w:cstheme="minorHAnsi"/>
          <w:sz w:val="20"/>
          <w:szCs w:val="20"/>
        </w:rPr>
        <w:t>Step 3.</w:t>
      </w:r>
      <w:r w:rsidRPr="002874D1"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>Identify total number of service connections and waterwork</w:t>
      </w:r>
      <w:r w:rsidR="00D94342">
        <w:rPr>
          <w:rFonts w:ascii="Trebuchet MS" w:hAnsi="Trebuchet MS" w:cstheme="minorHAnsi"/>
          <w:sz w:val="20"/>
          <w:szCs w:val="20"/>
        </w:rPr>
        <w:t>s. I</w:t>
      </w:r>
      <w:r w:rsidR="002A2BDD">
        <w:rPr>
          <w:rFonts w:ascii="Trebuchet MS" w:hAnsi="Trebuchet MS" w:cstheme="minorHAnsi"/>
          <w:sz w:val="20"/>
          <w:szCs w:val="20"/>
        </w:rPr>
        <w:t>dentify which</w:t>
      </w:r>
      <w:r w:rsidR="009819C8">
        <w:rPr>
          <w:rFonts w:ascii="Trebuchet MS" w:hAnsi="Trebuchet MS" w:cstheme="minorHAnsi"/>
          <w:sz w:val="20"/>
          <w:szCs w:val="20"/>
        </w:rPr>
        <w:t xml:space="preserve"> connections</w:t>
      </w:r>
      <w:r w:rsidR="002A2BDD">
        <w:rPr>
          <w:rFonts w:ascii="Trebuchet MS" w:hAnsi="Trebuchet MS" w:cstheme="minorHAnsi"/>
          <w:sz w:val="20"/>
          <w:szCs w:val="20"/>
        </w:rPr>
        <w:t xml:space="preserve"> require a cross connection identification survey</w:t>
      </w:r>
      <w:r w:rsidR="00861B15">
        <w:rPr>
          <w:rFonts w:ascii="Trebuchet MS" w:hAnsi="Trebuchet MS" w:cstheme="minorHAnsi"/>
          <w:sz w:val="20"/>
          <w:szCs w:val="20"/>
        </w:rPr>
        <w:t>.</w:t>
      </w:r>
      <w:r w:rsidR="002A2BDD">
        <w:rPr>
          <w:rFonts w:ascii="Trebuchet MS" w:hAnsi="Trebuchet MS" w:cstheme="minorHAnsi"/>
          <w:sz w:val="20"/>
          <w:szCs w:val="20"/>
        </w:rPr>
        <w:t xml:space="preserve"> In any </w:t>
      </w:r>
      <w:r w:rsidR="00405C1E">
        <w:rPr>
          <w:rFonts w:ascii="Trebuchet MS" w:hAnsi="Trebuchet MS" w:cstheme="minorHAnsi"/>
          <w:sz w:val="20"/>
          <w:szCs w:val="20"/>
        </w:rPr>
        <w:t xml:space="preserve">situation when </w:t>
      </w:r>
      <w:r w:rsidR="002A2BDD">
        <w:rPr>
          <w:rFonts w:ascii="Trebuchet MS" w:hAnsi="Trebuchet MS" w:cstheme="minorHAnsi"/>
          <w:sz w:val="20"/>
          <w:szCs w:val="20"/>
        </w:rPr>
        <w:t>the building is owned, rented</w:t>
      </w:r>
      <w:r w:rsidR="00405C1E">
        <w:rPr>
          <w:rFonts w:ascii="Trebuchet MS" w:hAnsi="Trebuchet MS" w:cstheme="minorHAnsi"/>
          <w:sz w:val="20"/>
          <w:szCs w:val="20"/>
        </w:rPr>
        <w:t>/</w:t>
      </w:r>
      <w:r w:rsidR="002A2BDD">
        <w:rPr>
          <w:rFonts w:ascii="Trebuchet MS" w:hAnsi="Trebuchet MS" w:cstheme="minorHAnsi"/>
          <w:sz w:val="20"/>
          <w:szCs w:val="20"/>
        </w:rPr>
        <w:t>leased and/</w:t>
      </w:r>
      <w:r w:rsidR="007E1DA0">
        <w:rPr>
          <w:rFonts w:ascii="Trebuchet MS" w:hAnsi="Trebuchet MS" w:cstheme="minorHAnsi"/>
          <w:sz w:val="20"/>
          <w:szCs w:val="20"/>
        </w:rPr>
        <w:t xml:space="preserve">or operated by the supplier </w:t>
      </w:r>
      <w:r w:rsidR="00405C1E">
        <w:rPr>
          <w:rFonts w:ascii="Trebuchet MS" w:hAnsi="Trebuchet MS" w:cstheme="minorHAnsi"/>
          <w:sz w:val="20"/>
          <w:szCs w:val="20"/>
        </w:rPr>
        <w:t xml:space="preserve">of water, </w:t>
      </w:r>
      <w:r w:rsidR="007E1DA0">
        <w:rPr>
          <w:rFonts w:ascii="Trebuchet MS" w:hAnsi="Trebuchet MS" w:cstheme="minorHAnsi"/>
          <w:sz w:val="20"/>
          <w:szCs w:val="20"/>
        </w:rPr>
        <w:t>a survey of the building</w:t>
      </w:r>
      <w:r w:rsidR="00405C1E">
        <w:rPr>
          <w:rFonts w:ascii="Trebuchet MS" w:hAnsi="Trebuchet MS" w:cstheme="minorHAnsi"/>
          <w:sz w:val="20"/>
          <w:szCs w:val="20"/>
        </w:rPr>
        <w:t>’</w:t>
      </w:r>
      <w:r w:rsidR="007E1DA0">
        <w:rPr>
          <w:rFonts w:ascii="Trebuchet MS" w:hAnsi="Trebuchet MS" w:cstheme="minorHAnsi"/>
          <w:sz w:val="20"/>
          <w:szCs w:val="20"/>
        </w:rPr>
        <w:t xml:space="preserve">s internal water supply will be required. </w:t>
      </w:r>
    </w:p>
    <w:p w14:paraId="4F2ACFBA" w14:textId="77777777" w:rsidR="00DD34B4" w:rsidRDefault="002874D1" w:rsidP="00D40D25">
      <w:pPr>
        <w:tabs>
          <w:tab w:val="left" w:pos="900"/>
        </w:tabs>
        <w:spacing w:before="120" w:after="120"/>
        <w:ind w:left="900" w:hanging="90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</w:t>
      </w:r>
      <w:r w:rsidR="00861B15">
        <w:rPr>
          <w:rFonts w:ascii="Trebuchet MS" w:hAnsi="Trebuchet MS" w:cstheme="minorHAnsi"/>
          <w:sz w:val="20"/>
          <w:szCs w:val="20"/>
        </w:rPr>
        <w:t>tep 4.</w:t>
      </w:r>
      <w:r w:rsidR="00861B15">
        <w:rPr>
          <w:rFonts w:ascii="Trebuchet MS" w:hAnsi="Trebuchet MS" w:cstheme="minorHAnsi"/>
          <w:sz w:val="20"/>
          <w:szCs w:val="20"/>
        </w:rPr>
        <w:tab/>
      </w:r>
      <w:r w:rsidR="002A2BDD">
        <w:rPr>
          <w:rFonts w:ascii="Trebuchet MS" w:hAnsi="Trebuchet MS" w:cstheme="minorHAnsi"/>
          <w:sz w:val="20"/>
          <w:szCs w:val="20"/>
        </w:rPr>
        <w:t>Survey and identify cross connections at all waterworks, service connections and water supply systems where a survey is required</w:t>
      </w:r>
      <w:r w:rsidR="00861B15">
        <w:rPr>
          <w:rFonts w:ascii="Trebuchet MS" w:hAnsi="Trebuchet MS" w:cstheme="minorHAnsi"/>
          <w:sz w:val="20"/>
          <w:szCs w:val="20"/>
        </w:rPr>
        <w:t>.</w:t>
      </w:r>
      <w:r w:rsidR="00D40D25">
        <w:rPr>
          <w:rFonts w:ascii="Trebuchet MS" w:hAnsi="Trebuchet MS" w:cstheme="minorHAnsi"/>
          <w:sz w:val="20"/>
          <w:szCs w:val="20"/>
        </w:rPr>
        <w:t xml:space="preserve"> Some identified cross connections will already be controlled. Identify the type of assembly or method used to control the cross connection and determine if it is be</w:t>
      </w:r>
      <w:r w:rsidR="009819C8">
        <w:rPr>
          <w:rFonts w:ascii="Trebuchet MS" w:hAnsi="Trebuchet MS" w:cstheme="minorHAnsi"/>
          <w:sz w:val="20"/>
          <w:szCs w:val="20"/>
        </w:rPr>
        <w:t>ing</w:t>
      </w:r>
      <w:r w:rsidR="00D40D25">
        <w:rPr>
          <w:rFonts w:ascii="Trebuchet MS" w:hAnsi="Trebuchet MS" w:cstheme="minorHAnsi"/>
          <w:sz w:val="20"/>
          <w:szCs w:val="20"/>
        </w:rPr>
        <w:t xml:space="preserve"> controlled appropriately. </w:t>
      </w:r>
      <w:r w:rsidR="00D94342">
        <w:rPr>
          <w:rFonts w:ascii="Trebuchet MS" w:hAnsi="Trebuchet MS" w:cstheme="minorHAnsi"/>
          <w:sz w:val="20"/>
          <w:szCs w:val="20"/>
        </w:rPr>
        <w:t>C</w:t>
      </w:r>
      <w:r w:rsidR="00D40D25">
        <w:rPr>
          <w:rFonts w:ascii="Trebuchet MS" w:hAnsi="Trebuchet MS" w:cstheme="minorHAnsi"/>
          <w:sz w:val="20"/>
          <w:szCs w:val="20"/>
        </w:rPr>
        <w:t xml:space="preserve">onsult the Department </w:t>
      </w:r>
      <w:r w:rsidR="00405C1E">
        <w:rPr>
          <w:rFonts w:ascii="Trebuchet MS" w:hAnsi="Trebuchet MS" w:cstheme="minorHAnsi"/>
          <w:sz w:val="20"/>
          <w:szCs w:val="20"/>
        </w:rPr>
        <w:t>if</w:t>
      </w:r>
      <w:r w:rsidR="00D40D25">
        <w:rPr>
          <w:rFonts w:ascii="Trebuchet MS" w:hAnsi="Trebuchet MS" w:cstheme="minorHAnsi"/>
          <w:sz w:val="20"/>
          <w:szCs w:val="20"/>
        </w:rPr>
        <w:t xml:space="preserve"> any questions.</w:t>
      </w:r>
    </w:p>
    <w:p w14:paraId="386FECA3" w14:textId="19B8A44A" w:rsidR="00DD34B4" w:rsidRDefault="00D40D25" w:rsidP="00D40D25">
      <w:pPr>
        <w:tabs>
          <w:tab w:val="left" w:pos="900"/>
        </w:tabs>
        <w:spacing w:before="120" w:after="120"/>
        <w:ind w:left="900" w:hanging="90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Step 5</w:t>
      </w:r>
      <w:r w:rsidR="00DD34B4">
        <w:rPr>
          <w:rFonts w:ascii="Trebuchet MS" w:hAnsi="Trebuchet MS" w:cstheme="minorHAnsi"/>
          <w:sz w:val="20"/>
          <w:szCs w:val="20"/>
        </w:rPr>
        <w:t>.</w:t>
      </w:r>
      <w:r w:rsidR="00DD34B4">
        <w:rPr>
          <w:rFonts w:ascii="Trebuchet MS" w:hAnsi="Trebuchet MS" w:cstheme="minorHAnsi"/>
          <w:sz w:val="20"/>
          <w:szCs w:val="20"/>
        </w:rPr>
        <w:tab/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Control </w:t>
      </w:r>
      <w:r w:rsidR="00405C1E">
        <w:rPr>
          <w:rFonts w:ascii="Trebuchet MS" w:hAnsi="Trebuchet MS" w:cstheme="minorHAnsi"/>
          <w:sz w:val="20"/>
          <w:szCs w:val="20"/>
        </w:rPr>
        <w:t xml:space="preserve">any </w:t>
      </w:r>
      <w:r w:rsidR="00DD34B4">
        <w:rPr>
          <w:rFonts w:ascii="Trebuchet MS" w:hAnsi="Trebuchet MS" w:cstheme="minorHAnsi"/>
          <w:sz w:val="20"/>
          <w:szCs w:val="20"/>
        </w:rPr>
        <w:t xml:space="preserve">identified 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cross connections </w:t>
      </w:r>
      <w:r w:rsidR="00405C1E">
        <w:rPr>
          <w:rFonts w:ascii="Trebuchet MS" w:hAnsi="Trebuchet MS" w:cstheme="minorHAnsi"/>
          <w:sz w:val="20"/>
          <w:szCs w:val="20"/>
        </w:rPr>
        <w:t xml:space="preserve">from the survey </w:t>
      </w:r>
      <w:r w:rsidR="00B409CE" w:rsidRPr="00DD34B4">
        <w:rPr>
          <w:rFonts w:ascii="Trebuchet MS" w:hAnsi="Trebuchet MS" w:cstheme="minorHAnsi"/>
          <w:sz w:val="20"/>
          <w:szCs w:val="20"/>
        </w:rPr>
        <w:t>with</w:t>
      </w:r>
      <w:r w:rsidR="008E72B8">
        <w:rPr>
          <w:rFonts w:ascii="Trebuchet MS" w:hAnsi="Trebuchet MS" w:cstheme="minorHAnsi"/>
          <w:sz w:val="20"/>
          <w:szCs w:val="20"/>
        </w:rPr>
        <w:t xml:space="preserve"> appropriate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 </w:t>
      </w:r>
      <w:r w:rsidR="00405C1E">
        <w:rPr>
          <w:rFonts w:ascii="Trebuchet MS" w:hAnsi="Trebuchet MS" w:cstheme="minorHAnsi"/>
          <w:sz w:val="20"/>
          <w:szCs w:val="20"/>
        </w:rPr>
        <w:t xml:space="preserve">backflow prevention </w:t>
      </w:r>
      <w:r w:rsidR="00B409CE" w:rsidRPr="00DD34B4">
        <w:rPr>
          <w:rFonts w:ascii="Trebuchet MS" w:hAnsi="Trebuchet MS" w:cstheme="minorHAnsi"/>
          <w:sz w:val="20"/>
          <w:szCs w:val="20"/>
        </w:rPr>
        <w:t>assemblies or method</w:t>
      </w:r>
      <w:r w:rsidR="008E72B8">
        <w:rPr>
          <w:rFonts w:ascii="Trebuchet MS" w:hAnsi="Trebuchet MS" w:cstheme="minorHAnsi"/>
          <w:sz w:val="20"/>
          <w:szCs w:val="20"/>
        </w:rPr>
        <w:t>s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 within </w:t>
      </w:r>
      <w:r w:rsidR="005A5A72">
        <w:rPr>
          <w:rFonts w:ascii="Trebuchet MS" w:hAnsi="Trebuchet MS" w:cstheme="minorHAnsi"/>
          <w:sz w:val="20"/>
          <w:szCs w:val="20"/>
        </w:rPr>
        <w:t>120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 days of discovery.</w:t>
      </w:r>
    </w:p>
    <w:p w14:paraId="38D5E96E" w14:textId="77777777" w:rsidR="00B409CE" w:rsidRPr="00DD34B4" w:rsidRDefault="00DD34B4" w:rsidP="00D40D25">
      <w:pPr>
        <w:tabs>
          <w:tab w:val="left" w:pos="900"/>
        </w:tabs>
        <w:spacing w:before="120" w:after="120"/>
        <w:ind w:left="900" w:hanging="90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Step </w:t>
      </w:r>
      <w:r w:rsidR="00D40D25">
        <w:rPr>
          <w:rFonts w:ascii="Trebuchet MS" w:hAnsi="Trebuchet MS" w:cstheme="minorHAnsi"/>
          <w:sz w:val="20"/>
          <w:szCs w:val="20"/>
        </w:rPr>
        <w:t>6</w:t>
      </w:r>
      <w:r>
        <w:rPr>
          <w:rFonts w:ascii="Trebuchet MS" w:hAnsi="Trebuchet MS" w:cstheme="minorHAnsi"/>
          <w:sz w:val="20"/>
          <w:szCs w:val="20"/>
        </w:rPr>
        <w:t>.</w:t>
      </w:r>
      <w:r>
        <w:rPr>
          <w:rFonts w:ascii="Trebuchet MS" w:hAnsi="Trebuchet MS" w:cstheme="minorHAnsi"/>
          <w:sz w:val="20"/>
          <w:szCs w:val="20"/>
        </w:rPr>
        <w:tab/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Ensure </w:t>
      </w:r>
      <w:r w:rsidR="00405C1E">
        <w:rPr>
          <w:rFonts w:ascii="Trebuchet MS" w:hAnsi="Trebuchet MS" w:cstheme="minorHAnsi"/>
          <w:sz w:val="20"/>
          <w:szCs w:val="20"/>
        </w:rPr>
        <w:t xml:space="preserve">backflow prevention </w:t>
      </w:r>
      <w:r w:rsidR="00B409CE" w:rsidRPr="00DD34B4">
        <w:rPr>
          <w:rFonts w:ascii="Trebuchet MS" w:hAnsi="Trebuchet MS" w:cstheme="minorHAnsi"/>
          <w:sz w:val="20"/>
          <w:szCs w:val="20"/>
        </w:rPr>
        <w:t>assemblies</w:t>
      </w:r>
      <w:r w:rsidR="00405C1E">
        <w:rPr>
          <w:rFonts w:ascii="Trebuchet MS" w:hAnsi="Trebuchet MS" w:cstheme="minorHAnsi"/>
          <w:sz w:val="20"/>
          <w:szCs w:val="20"/>
        </w:rPr>
        <w:t xml:space="preserve"> and</w:t>
      </w:r>
      <w:r w:rsidR="00797040">
        <w:rPr>
          <w:rFonts w:ascii="Trebuchet MS" w:hAnsi="Trebuchet MS" w:cstheme="minorHAnsi"/>
          <w:sz w:val="20"/>
          <w:szCs w:val="20"/>
        </w:rPr>
        <w:t>/or</w:t>
      </w:r>
      <w:r w:rsidR="00405C1E">
        <w:rPr>
          <w:rFonts w:ascii="Trebuchet MS" w:hAnsi="Trebuchet MS" w:cstheme="minorHAnsi"/>
          <w:sz w:val="20"/>
          <w:szCs w:val="20"/>
        </w:rPr>
        <w:t xml:space="preserve"> </w:t>
      </w:r>
      <w:r w:rsidR="00405C1E" w:rsidRPr="00DD34B4">
        <w:rPr>
          <w:rFonts w:ascii="Trebuchet MS" w:hAnsi="Trebuchet MS" w:cstheme="minorHAnsi"/>
          <w:sz w:val="20"/>
          <w:szCs w:val="20"/>
        </w:rPr>
        <w:t>methods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 are properly </w:t>
      </w:r>
      <w:r>
        <w:rPr>
          <w:rFonts w:ascii="Trebuchet MS" w:hAnsi="Trebuchet MS" w:cstheme="minorHAnsi"/>
          <w:sz w:val="20"/>
          <w:szCs w:val="20"/>
        </w:rPr>
        <w:t>tested or inspected</w:t>
      </w:r>
      <w:r w:rsidR="008E72B8">
        <w:rPr>
          <w:rFonts w:ascii="Trebuchet MS" w:hAnsi="Trebuchet MS" w:cstheme="minorHAnsi"/>
          <w:sz w:val="20"/>
          <w:szCs w:val="20"/>
        </w:rPr>
        <w:t xml:space="preserve"> upon installation and annually</w:t>
      </w:r>
      <w:r w:rsidR="00625E43">
        <w:rPr>
          <w:rFonts w:ascii="Trebuchet MS" w:hAnsi="Trebuchet MS" w:cstheme="minorHAnsi"/>
          <w:sz w:val="20"/>
          <w:szCs w:val="20"/>
        </w:rPr>
        <w:t xml:space="preserve"> each year after</w:t>
      </w:r>
      <w:r w:rsidR="00B409CE" w:rsidRPr="00DD34B4">
        <w:rPr>
          <w:rFonts w:ascii="Trebuchet MS" w:hAnsi="Trebuchet MS" w:cstheme="minorHAnsi"/>
          <w:sz w:val="20"/>
          <w:szCs w:val="20"/>
        </w:rPr>
        <w:t xml:space="preserve">. </w:t>
      </w:r>
    </w:p>
    <w:p w14:paraId="0168EDFE" w14:textId="77777777" w:rsidR="00861B15" w:rsidRPr="00861B15" w:rsidRDefault="00403531" w:rsidP="00D40D25">
      <w:pPr>
        <w:spacing w:before="120" w:after="12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As suppliers implement</w:t>
      </w:r>
      <w:r w:rsidR="008E72B8">
        <w:rPr>
          <w:rFonts w:ascii="Trebuchet MS" w:hAnsi="Trebuchet MS" w:cstheme="minorHAnsi"/>
          <w:sz w:val="20"/>
          <w:szCs w:val="20"/>
        </w:rPr>
        <w:t xml:space="preserve"> the requirements of the rule</w:t>
      </w:r>
      <w:r>
        <w:rPr>
          <w:rFonts w:ascii="Trebuchet MS" w:hAnsi="Trebuchet MS" w:cstheme="minorHAnsi"/>
          <w:sz w:val="20"/>
          <w:szCs w:val="20"/>
        </w:rPr>
        <w:t>, the supplier must:</w:t>
      </w:r>
    </w:p>
    <w:p w14:paraId="317ED243" w14:textId="10DE3BB7" w:rsidR="00B409CE" w:rsidRDefault="008E72B8" w:rsidP="00D40D25">
      <w:pPr>
        <w:pStyle w:val="ListParagraph"/>
        <w:numPr>
          <w:ilvl w:val="0"/>
          <w:numId w:val="19"/>
        </w:numPr>
        <w:spacing w:before="120" w:after="12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>Track performance of surveys</w:t>
      </w:r>
      <w:r w:rsidR="00625E43">
        <w:rPr>
          <w:rFonts w:ascii="Trebuchet MS" w:hAnsi="Trebuchet MS" w:cstheme="minorHAnsi"/>
          <w:sz w:val="20"/>
          <w:szCs w:val="20"/>
        </w:rPr>
        <w:t>,</w:t>
      </w:r>
      <w:r>
        <w:rPr>
          <w:rFonts w:ascii="Trebuchet MS" w:hAnsi="Trebuchet MS" w:cstheme="minorHAnsi"/>
          <w:sz w:val="20"/>
          <w:szCs w:val="20"/>
        </w:rPr>
        <w:t xml:space="preserve"> assembly or method installation and testing or inspection results and c</w:t>
      </w:r>
      <w:r w:rsidR="00B409CE">
        <w:rPr>
          <w:rFonts w:ascii="Trebuchet MS" w:hAnsi="Trebuchet MS" w:cstheme="minorHAnsi"/>
          <w:sz w:val="20"/>
          <w:szCs w:val="20"/>
        </w:rPr>
        <w:t xml:space="preserve">omply with the survey, method, and assembly compliance ratios </w:t>
      </w:r>
      <w:r>
        <w:rPr>
          <w:rFonts w:ascii="Trebuchet MS" w:hAnsi="Trebuchet MS" w:cstheme="minorHAnsi"/>
          <w:sz w:val="20"/>
          <w:szCs w:val="20"/>
        </w:rPr>
        <w:t xml:space="preserve">specified </w:t>
      </w:r>
      <w:r w:rsidR="003155A5">
        <w:rPr>
          <w:rFonts w:ascii="Trebuchet MS" w:hAnsi="Trebuchet MS" w:cstheme="minorHAnsi"/>
          <w:sz w:val="20"/>
          <w:szCs w:val="20"/>
        </w:rPr>
        <w:t>the guidance document.</w:t>
      </w:r>
    </w:p>
    <w:p w14:paraId="69551587" w14:textId="4C6F6B8C" w:rsidR="00B409CE" w:rsidRPr="00C25298" w:rsidRDefault="00B409CE" w:rsidP="00B409CE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 w:rsidRPr="00C25298">
        <w:rPr>
          <w:rFonts w:ascii="Trebuchet MS" w:hAnsi="Trebuchet MS" w:cstheme="minorHAnsi"/>
          <w:sz w:val="20"/>
          <w:szCs w:val="20"/>
        </w:rPr>
        <w:t>Write an annual</w:t>
      </w:r>
      <w:r w:rsidR="007E1DA0" w:rsidRPr="00C25298">
        <w:rPr>
          <w:rFonts w:ascii="Trebuchet MS" w:hAnsi="Trebuchet MS" w:cstheme="minorHAnsi"/>
          <w:sz w:val="20"/>
          <w:szCs w:val="20"/>
        </w:rPr>
        <w:t xml:space="preserve"> report </w:t>
      </w:r>
      <w:r w:rsidR="00C25298" w:rsidRPr="00C25298">
        <w:rPr>
          <w:rFonts w:ascii="Trebuchet MS" w:hAnsi="Trebuchet MS" w:cstheme="minorHAnsi"/>
          <w:sz w:val="20"/>
          <w:szCs w:val="20"/>
        </w:rPr>
        <w:t>(Due May 1</w:t>
      </w:r>
      <w:r w:rsidR="00C25298" w:rsidRPr="00C25298">
        <w:rPr>
          <w:rFonts w:ascii="Trebuchet MS" w:hAnsi="Trebuchet MS" w:cstheme="minorHAnsi"/>
          <w:sz w:val="20"/>
          <w:szCs w:val="20"/>
          <w:vertAlign w:val="superscript"/>
        </w:rPr>
        <w:t>st</w:t>
      </w:r>
      <w:r w:rsidR="00C25298" w:rsidRPr="00C25298">
        <w:rPr>
          <w:rFonts w:ascii="Trebuchet MS" w:hAnsi="Trebuchet MS" w:cstheme="minorHAnsi"/>
          <w:sz w:val="20"/>
          <w:szCs w:val="20"/>
        </w:rPr>
        <w:t xml:space="preserve"> of each year).</w:t>
      </w:r>
    </w:p>
    <w:p w14:paraId="0027C270" w14:textId="77777777" w:rsidR="00B409CE" w:rsidRDefault="00B409CE" w:rsidP="00DC69DB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Notify the </w:t>
      </w:r>
      <w:r w:rsidR="00714A7B">
        <w:rPr>
          <w:rFonts w:ascii="Trebuchet MS" w:hAnsi="Trebuchet MS" w:cstheme="minorHAnsi"/>
          <w:sz w:val="20"/>
          <w:szCs w:val="20"/>
        </w:rPr>
        <w:t>D</w:t>
      </w:r>
      <w:r>
        <w:rPr>
          <w:rFonts w:ascii="Trebuchet MS" w:hAnsi="Trebuchet MS" w:cstheme="minorHAnsi"/>
          <w:sz w:val="20"/>
          <w:szCs w:val="20"/>
        </w:rPr>
        <w:t xml:space="preserve">epartment of </w:t>
      </w:r>
      <w:r w:rsidR="00714A7B">
        <w:rPr>
          <w:rFonts w:ascii="Trebuchet MS" w:hAnsi="Trebuchet MS" w:cstheme="minorHAnsi"/>
          <w:sz w:val="20"/>
          <w:szCs w:val="20"/>
        </w:rPr>
        <w:t xml:space="preserve">any </w:t>
      </w:r>
      <w:r w:rsidR="00904B00">
        <w:rPr>
          <w:rFonts w:ascii="Trebuchet MS" w:hAnsi="Trebuchet MS" w:cstheme="minorHAnsi"/>
          <w:sz w:val="20"/>
          <w:szCs w:val="20"/>
        </w:rPr>
        <w:t xml:space="preserve">discovered </w:t>
      </w:r>
      <w:r>
        <w:rPr>
          <w:rFonts w:ascii="Trebuchet MS" w:hAnsi="Trebuchet MS" w:cstheme="minorHAnsi"/>
          <w:sz w:val="20"/>
          <w:szCs w:val="20"/>
        </w:rPr>
        <w:t xml:space="preserve">backflow </w:t>
      </w:r>
      <w:r w:rsidR="00904B00">
        <w:rPr>
          <w:rFonts w:ascii="Trebuchet MS" w:hAnsi="Trebuchet MS" w:cstheme="minorHAnsi"/>
          <w:sz w:val="20"/>
          <w:szCs w:val="20"/>
        </w:rPr>
        <w:t xml:space="preserve">contamination </w:t>
      </w:r>
      <w:r>
        <w:rPr>
          <w:rFonts w:ascii="Trebuchet MS" w:hAnsi="Trebuchet MS" w:cstheme="minorHAnsi"/>
          <w:sz w:val="20"/>
          <w:szCs w:val="20"/>
        </w:rPr>
        <w:t>event.</w:t>
      </w:r>
    </w:p>
    <w:p w14:paraId="105AEB27" w14:textId="7FEFF5CF" w:rsidR="00DC69DB" w:rsidRPr="00B409CE" w:rsidRDefault="00B409CE" w:rsidP="004D3A8A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="Trebuchet MS" w:hAnsi="Trebuchet MS" w:cstheme="minorHAnsi"/>
          <w:sz w:val="20"/>
          <w:szCs w:val="20"/>
        </w:rPr>
      </w:pPr>
      <w:r w:rsidRPr="00B409CE">
        <w:rPr>
          <w:rFonts w:ascii="Trebuchet MS" w:hAnsi="Trebuchet MS" w:cstheme="minorHAnsi"/>
          <w:sz w:val="20"/>
          <w:szCs w:val="20"/>
        </w:rPr>
        <w:t>Request alternative schedules as needed.</w:t>
      </w:r>
    </w:p>
    <w:p w14:paraId="09D951D6" w14:textId="2362B778" w:rsidR="003155A5" w:rsidRPr="000D587D" w:rsidRDefault="003155A5" w:rsidP="003155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theme="minorHAnsi"/>
          <w:sz w:val="20"/>
          <w:szCs w:val="20"/>
        </w:rPr>
      </w:pPr>
      <w:r w:rsidRPr="008E72B8">
        <w:rPr>
          <w:rFonts w:ascii="Trebuchet MS" w:hAnsi="Trebuchet MS" w:cstheme="minorHAnsi"/>
          <w:sz w:val="20"/>
          <w:szCs w:val="20"/>
        </w:rPr>
        <w:t xml:space="preserve">Please contact </w:t>
      </w:r>
      <w:r>
        <w:rPr>
          <w:rFonts w:ascii="Trebuchet MS" w:hAnsi="Trebuchet MS" w:cstheme="minorHAnsi"/>
          <w:sz w:val="20"/>
          <w:szCs w:val="20"/>
        </w:rPr>
        <w:t xml:space="preserve">NDDEQ </w:t>
      </w:r>
      <w:r w:rsidRPr="008E72B8">
        <w:rPr>
          <w:rFonts w:ascii="Trebuchet MS" w:hAnsi="Trebuchet MS" w:cstheme="minorHAnsi"/>
          <w:sz w:val="20"/>
          <w:szCs w:val="20"/>
        </w:rPr>
        <w:t>Backflow Prevention and Cross-c</w:t>
      </w:r>
      <w:r>
        <w:rPr>
          <w:rFonts w:ascii="Trebuchet MS" w:hAnsi="Trebuchet MS" w:cstheme="minorHAnsi"/>
          <w:sz w:val="20"/>
          <w:szCs w:val="20"/>
        </w:rPr>
        <w:t>onnection Control S</w:t>
      </w:r>
      <w:r w:rsidRPr="008E72B8">
        <w:rPr>
          <w:rFonts w:ascii="Trebuchet MS" w:hAnsi="Trebuchet MS" w:cstheme="minorHAnsi"/>
          <w:sz w:val="20"/>
          <w:szCs w:val="20"/>
        </w:rPr>
        <w:t>pecialist</w:t>
      </w:r>
      <w:r>
        <w:rPr>
          <w:rFonts w:ascii="Trebuchet MS" w:hAnsi="Trebuchet MS" w:cstheme="minorHAnsi"/>
          <w:sz w:val="20"/>
          <w:szCs w:val="20"/>
        </w:rPr>
        <w:t xml:space="preserve">, at 701.328.5211 with any questions that you may have. </w:t>
      </w:r>
    </w:p>
    <w:p w14:paraId="0AFBEDF2" w14:textId="712526AD" w:rsidR="00E514C6" w:rsidRPr="002A2BDD" w:rsidRDefault="00E514C6" w:rsidP="002A2B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 w:cstheme="minorHAnsi"/>
          <w:sz w:val="20"/>
          <w:szCs w:val="20"/>
        </w:rPr>
      </w:pPr>
    </w:p>
    <w:sectPr w:rsidR="00E514C6" w:rsidRPr="002A2BDD" w:rsidSect="00D94342">
      <w:pgSz w:w="12240" w:h="15840"/>
      <w:pgMar w:top="720" w:right="1440" w:bottom="90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B9B8" w14:textId="77777777" w:rsidR="00694569" w:rsidRDefault="00694569" w:rsidP="00E514C6">
      <w:pPr>
        <w:spacing w:after="0" w:line="240" w:lineRule="auto"/>
      </w:pPr>
      <w:r>
        <w:separator/>
      </w:r>
    </w:p>
  </w:endnote>
  <w:endnote w:type="continuationSeparator" w:id="0">
    <w:p w14:paraId="6142E05B" w14:textId="77777777" w:rsidR="00694569" w:rsidRDefault="00694569" w:rsidP="00E5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A8F8" w14:textId="77777777" w:rsidR="00694569" w:rsidRDefault="00694569" w:rsidP="00E514C6">
      <w:pPr>
        <w:spacing w:after="0" w:line="240" w:lineRule="auto"/>
      </w:pPr>
      <w:r>
        <w:separator/>
      </w:r>
    </w:p>
  </w:footnote>
  <w:footnote w:type="continuationSeparator" w:id="0">
    <w:p w14:paraId="3386ADDB" w14:textId="77777777" w:rsidR="00694569" w:rsidRDefault="00694569" w:rsidP="00E51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 w15:restartNumberingAfterBreak="0">
    <w:nsid w:val="003B0563"/>
    <w:multiLevelType w:val="hybridMultilevel"/>
    <w:tmpl w:val="BDFE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E4D12"/>
    <w:multiLevelType w:val="multilevel"/>
    <w:tmpl w:val="FE243D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19E34B6"/>
    <w:multiLevelType w:val="hybridMultilevel"/>
    <w:tmpl w:val="7E74AE8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E4E7442"/>
    <w:multiLevelType w:val="hybridMultilevel"/>
    <w:tmpl w:val="33165DDC"/>
    <w:lvl w:ilvl="0" w:tplc="4672F51E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A5056"/>
    <w:multiLevelType w:val="hybridMultilevel"/>
    <w:tmpl w:val="9590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4E2"/>
    <w:multiLevelType w:val="hybridMultilevel"/>
    <w:tmpl w:val="17661A08"/>
    <w:lvl w:ilvl="0" w:tplc="EFEE327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2F82"/>
    <w:multiLevelType w:val="hybridMultilevel"/>
    <w:tmpl w:val="AE742CB0"/>
    <w:lvl w:ilvl="0" w:tplc="89D0860A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940BD"/>
    <w:multiLevelType w:val="hybridMultilevel"/>
    <w:tmpl w:val="C6903F82"/>
    <w:lvl w:ilvl="0" w:tplc="AC420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03457"/>
    <w:multiLevelType w:val="hybridMultilevel"/>
    <w:tmpl w:val="0A4A2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814C5"/>
    <w:multiLevelType w:val="hybridMultilevel"/>
    <w:tmpl w:val="F7DA2338"/>
    <w:lvl w:ilvl="0" w:tplc="E2F6B8BE">
      <w:start w:val="43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C4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F329C"/>
    <w:multiLevelType w:val="hybridMultilevel"/>
    <w:tmpl w:val="628A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03A1E"/>
    <w:multiLevelType w:val="hybridMultilevel"/>
    <w:tmpl w:val="BCCC5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B838B1"/>
    <w:multiLevelType w:val="hybridMultilevel"/>
    <w:tmpl w:val="782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7173"/>
    <w:multiLevelType w:val="hybridMultilevel"/>
    <w:tmpl w:val="52F4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D588F"/>
    <w:multiLevelType w:val="hybridMultilevel"/>
    <w:tmpl w:val="4F76BFD2"/>
    <w:lvl w:ilvl="0" w:tplc="DFB82E6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025017"/>
    <w:multiLevelType w:val="hybridMultilevel"/>
    <w:tmpl w:val="8990D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2A3E48"/>
    <w:multiLevelType w:val="multilevel"/>
    <w:tmpl w:val="5F66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03BA7"/>
    <w:multiLevelType w:val="hybridMultilevel"/>
    <w:tmpl w:val="8BE8B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6A212"/>
    <w:multiLevelType w:val="hybridMultilevel"/>
    <w:tmpl w:val="C40230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0CC0FF2"/>
    <w:multiLevelType w:val="hybridMultilevel"/>
    <w:tmpl w:val="ECBC9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EE6288"/>
    <w:multiLevelType w:val="hybridMultilevel"/>
    <w:tmpl w:val="7E74AE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6422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1"/>
  </w:num>
  <w:num w:numId="3">
    <w:abstractNumId w:val="2"/>
  </w:num>
  <w:num w:numId="4">
    <w:abstractNumId w:val="23"/>
  </w:num>
  <w:num w:numId="5">
    <w:abstractNumId w:val="18"/>
  </w:num>
  <w:num w:numId="6">
    <w:abstractNumId w:val="19"/>
  </w:num>
  <w:num w:numId="7">
    <w:abstractNumId w:val="9"/>
  </w:num>
  <w:num w:numId="8">
    <w:abstractNumId w:val="0"/>
  </w:num>
  <w:num w:numId="9">
    <w:abstractNumId w:val="13"/>
  </w:num>
  <w:num w:numId="10">
    <w:abstractNumId w:val="21"/>
  </w:num>
  <w:num w:numId="11">
    <w:abstractNumId w:val="17"/>
  </w:num>
  <w:num w:numId="12">
    <w:abstractNumId w:val="14"/>
  </w:num>
  <w:num w:numId="13">
    <w:abstractNumId w:val="5"/>
  </w:num>
  <w:num w:numId="14">
    <w:abstractNumId w:val="22"/>
  </w:num>
  <w:num w:numId="15">
    <w:abstractNumId w:val="3"/>
  </w:num>
  <w:num w:numId="16">
    <w:abstractNumId w:val="10"/>
  </w:num>
  <w:num w:numId="17">
    <w:abstractNumId w:val="6"/>
  </w:num>
  <w:num w:numId="18">
    <w:abstractNumId w:val="7"/>
  </w:num>
  <w:num w:numId="19">
    <w:abstractNumId w:val="12"/>
  </w:num>
  <w:num w:numId="20">
    <w:abstractNumId w:val="16"/>
  </w:num>
  <w:num w:numId="21">
    <w:abstractNumId w:val="15"/>
  </w:num>
  <w:num w:numId="22">
    <w:abstractNumId w:val="1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4F"/>
    <w:rsid w:val="000613B6"/>
    <w:rsid w:val="00064364"/>
    <w:rsid w:val="00074A74"/>
    <w:rsid w:val="0007549A"/>
    <w:rsid w:val="000A075F"/>
    <w:rsid w:val="000A6494"/>
    <w:rsid w:val="000C3CC2"/>
    <w:rsid w:val="000C4CF5"/>
    <w:rsid w:val="000C5E34"/>
    <w:rsid w:val="000D4FE2"/>
    <w:rsid w:val="00106F07"/>
    <w:rsid w:val="001115C7"/>
    <w:rsid w:val="0012165D"/>
    <w:rsid w:val="0012572E"/>
    <w:rsid w:val="001353AE"/>
    <w:rsid w:val="00135B0B"/>
    <w:rsid w:val="001367D9"/>
    <w:rsid w:val="001368E3"/>
    <w:rsid w:val="00155BEE"/>
    <w:rsid w:val="00175921"/>
    <w:rsid w:val="0019603E"/>
    <w:rsid w:val="001A51D2"/>
    <w:rsid w:val="001C1191"/>
    <w:rsid w:val="001E2263"/>
    <w:rsid w:val="001F0753"/>
    <w:rsid w:val="001F405E"/>
    <w:rsid w:val="001F65FA"/>
    <w:rsid w:val="00201713"/>
    <w:rsid w:val="00204B38"/>
    <w:rsid w:val="00220A3C"/>
    <w:rsid w:val="002245E3"/>
    <w:rsid w:val="0024220C"/>
    <w:rsid w:val="0025019B"/>
    <w:rsid w:val="00254F1D"/>
    <w:rsid w:val="002560AB"/>
    <w:rsid w:val="002874D1"/>
    <w:rsid w:val="002A2BDD"/>
    <w:rsid w:val="002D555D"/>
    <w:rsid w:val="002D6237"/>
    <w:rsid w:val="003045D9"/>
    <w:rsid w:val="00304F33"/>
    <w:rsid w:val="003155A5"/>
    <w:rsid w:val="003372B4"/>
    <w:rsid w:val="00344166"/>
    <w:rsid w:val="0035601F"/>
    <w:rsid w:val="003A3999"/>
    <w:rsid w:val="003A798B"/>
    <w:rsid w:val="003D1098"/>
    <w:rsid w:val="003D15E8"/>
    <w:rsid w:val="003F0213"/>
    <w:rsid w:val="0040186F"/>
    <w:rsid w:val="00403531"/>
    <w:rsid w:val="00405C1E"/>
    <w:rsid w:val="00420AA5"/>
    <w:rsid w:val="00425EB0"/>
    <w:rsid w:val="00441D8B"/>
    <w:rsid w:val="00445645"/>
    <w:rsid w:val="004505B3"/>
    <w:rsid w:val="00461889"/>
    <w:rsid w:val="00463BA6"/>
    <w:rsid w:val="004A3C06"/>
    <w:rsid w:val="004B0CDB"/>
    <w:rsid w:val="004B1C9E"/>
    <w:rsid w:val="004D1B64"/>
    <w:rsid w:val="004D3A8A"/>
    <w:rsid w:val="005004E8"/>
    <w:rsid w:val="00507C98"/>
    <w:rsid w:val="00514FB8"/>
    <w:rsid w:val="005345FF"/>
    <w:rsid w:val="00550041"/>
    <w:rsid w:val="00553074"/>
    <w:rsid w:val="005628EC"/>
    <w:rsid w:val="0057398A"/>
    <w:rsid w:val="0058100C"/>
    <w:rsid w:val="005829C4"/>
    <w:rsid w:val="00584E18"/>
    <w:rsid w:val="005907E5"/>
    <w:rsid w:val="00591F83"/>
    <w:rsid w:val="00593577"/>
    <w:rsid w:val="00593E71"/>
    <w:rsid w:val="005A5A72"/>
    <w:rsid w:val="005B0444"/>
    <w:rsid w:val="005D0E26"/>
    <w:rsid w:val="005D3756"/>
    <w:rsid w:val="005D4388"/>
    <w:rsid w:val="005F2022"/>
    <w:rsid w:val="005F26FE"/>
    <w:rsid w:val="0062156D"/>
    <w:rsid w:val="00622C24"/>
    <w:rsid w:val="00625E43"/>
    <w:rsid w:val="0062683F"/>
    <w:rsid w:val="00643B47"/>
    <w:rsid w:val="0064774D"/>
    <w:rsid w:val="006553F4"/>
    <w:rsid w:val="006832FD"/>
    <w:rsid w:val="006845E7"/>
    <w:rsid w:val="00694569"/>
    <w:rsid w:val="006A4453"/>
    <w:rsid w:val="006C3994"/>
    <w:rsid w:val="006C4534"/>
    <w:rsid w:val="006D64EC"/>
    <w:rsid w:val="006E5090"/>
    <w:rsid w:val="007072A5"/>
    <w:rsid w:val="00714A7B"/>
    <w:rsid w:val="00714D2F"/>
    <w:rsid w:val="0071743B"/>
    <w:rsid w:val="007223CC"/>
    <w:rsid w:val="0072657B"/>
    <w:rsid w:val="00740914"/>
    <w:rsid w:val="007636C7"/>
    <w:rsid w:val="00772861"/>
    <w:rsid w:val="00774496"/>
    <w:rsid w:val="007928BA"/>
    <w:rsid w:val="00797040"/>
    <w:rsid w:val="007E1DA0"/>
    <w:rsid w:val="007E7E68"/>
    <w:rsid w:val="007F3172"/>
    <w:rsid w:val="007F5ABF"/>
    <w:rsid w:val="00843AB1"/>
    <w:rsid w:val="00860CC6"/>
    <w:rsid w:val="00861B15"/>
    <w:rsid w:val="008A233D"/>
    <w:rsid w:val="008B42F3"/>
    <w:rsid w:val="008B5A2B"/>
    <w:rsid w:val="008C5FC7"/>
    <w:rsid w:val="008D4033"/>
    <w:rsid w:val="008E72B8"/>
    <w:rsid w:val="00904B00"/>
    <w:rsid w:val="00921355"/>
    <w:rsid w:val="00931A90"/>
    <w:rsid w:val="009378BF"/>
    <w:rsid w:val="009819C8"/>
    <w:rsid w:val="00996FA9"/>
    <w:rsid w:val="009B314F"/>
    <w:rsid w:val="009B5464"/>
    <w:rsid w:val="009D24C8"/>
    <w:rsid w:val="009D2D5B"/>
    <w:rsid w:val="009E0BC8"/>
    <w:rsid w:val="00A0468E"/>
    <w:rsid w:val="00A10F4B"/>
    <w:rsid w:val="00A26018"/>
    <w:rsid w:val="00A40C79"/>
    <w:rsid w:val="00A50993"/>
    <w:rsid w:val="00A809C7"/>
    <w:rsid w:val="00A96059"/>
    <w:rsid w:val="00AA014A"/>
    <w:rsid w:val="00AB09CC"/>
    <w:rsid w:val="00AB65C3"/>
    <w:rsid w:val="00AD1B8B"/>
    <w:rsid w:val="00AF3224"/>
    <w:rsid w:val="00AF7104"/>
    <w:rsid w:val="00B05345"/>
    <w:rsid w:val="00B157B7"/>
    <w:rsid w:val="00B32600"/>
    <w:rsid w:val="00B409CE"/>
    <w:rsid w:val="00B77DA5"/>
    <w:rsid w:val="00B81C64"/>
    <w:rsid w:val="00BD262F"/>
    <w:rsid w:val="00BE01FC"/>
    <w:rsid w:val="00C0439A"/>
    <w:rsid w:val="00C1019C"/>
    <w:rsid w:val="00C25298"/>
    <w:rsid w:val="00C37ABF"/>
    <w:rsid w:val="00C64550"/>
    <w:rsid w:val="00C8009A"/>
    <w:rsid w:val="00C805AA"/>
    <w:rsid w:val="00C82F9E"/>
    <w:rsid w:val="00C931E9"/>
    <w:rsid w:val="00CE1B94"/>
    <w:rsid w:val="00CE5EB8"/>
    <w:rsid w:val="00D11ADE"/>
    <w:rsid w:val="00D303F7"/>
    <w:rsid w:val="00D40D25"/>
    <w:rsid w:val="00D537E7"/>
    <w:rsid w:val="00D62461"/>
    <w:rsid w:val="00D62589"/>
    <w:rsid w:val="00D73787"/>
    <w:rsid w:val="00D94342"/>
    <w:rsid w:val="00DA4D05"/>
    <w:rsid w:val="00DA7332"/>
    <w:rsid w:val="00DC69DB"/>
    <w:rsid w:val="00DD34B4"/>
    <w:rsid w:val="00DD6AF7"/>
    <w:rsid w:val="00DE486C"/>
    <w:rsid w:val="00DF0327"/>
    <w:rsid w:val="00DF0DFC"/>
    <w:rsid w:val="00DF4062"/>
    <w:rsid w:val="00DF4D33"/>
    <w:rsid w:val="00E008F6"/>
    <w:rsid w:val="00E00CA7"/>
    <w:rsid w:val="00E13CDD"/>
    <w:rsid w:val="00E22AE6"/>
    <w:rsid w:val="00E24E16"/>
    <w:rsid w:val="00E37BF8"/>
    <w:rsid w:val="00E514C6"/>
    <w:rsid w:val="00E63CDC"/>
    <w:rsid w:val="00E75191"/>
    <w:rsid w:val="00EB66F4"/>
    <w:rsid w:val="00EC0FA1"/>
    <w:rsid w:val="00EC3F84"/>
    <w:rsid w:val="00EE282A"/>
    <w:rsid w:val="00EF05A7"/>
    <w:rsid w:val="00F34676"/>
    <w:rsid w:val="00F35FFE"/>
    <w:rsid w:val="00F62547"/>
    <w:rsid w:val="00F65BD0"/>
    <w:rsid w:val="00F8570F"/>
    <w:rsid w:val="00F9127E"/>
    <w:rsid w:val="00FD058D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A08A"/>
  <w15:docId w15:val="{DE5B8239-A6F5-43AA-BEC5-B169CF94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DD"/>
  </w:style>
  <w:style w:type="paragraph" w:styleId="Heading1">
    <w:name w:val="heading 1"/>
    <w:basedOn w:val="Normal"/>
    <w:next w:val="Normal"/>
    <w:link w:val="Heading1Char"/>
    <w:uiPriority w:val="9"/>
    <w:qFormat/>
    <w:rsid w:val="00E51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Default"/>
    <w:next w:val="Default"/>
    <w:uiPriority w:val="34"/>
    <w:qFormat/>
    <w:rsid w:val="009B314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5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1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4C6"/>
  </w:style>
  <w:style w:type="paragraph" w:styleId="Footer">
    <w:name w:val="footer"/>
    <w:basedOn w:val="Normal"/>
    <w:link w:val="FooterChar"/>
    <w:uiPriority w:val="99"/>
    <w:semiHidden/>
    <w:unhideWhenUsed/>
    <w:rsid w:val="00E51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4C6"/>
  </w:style>
  <w:style w:type="character" w:styleId="Hyperlink">
    <w:name w:val="Hyperlink"/>
    <w:basedOn w:val="DefaultParagraphFont"/>
    <w:uiPriority w:val="99"/>
    <w:unhideWhenUsed/>
    <w:rsid w:val="00E514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1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14C6"/>
    <w:pPr>
      <w:spacing w:line="360" w:lineRule="auto"/>
      <w:jc w:val="center"/>
      <w:outlineLvl w:val="9"/>
    </w:pPr>
    <w:rPr>
      <w:rFonts w:ascii="MS Reference Sans Serif" w:hAnsi="MS Reference Sans Serif"/>
      <w:caps/>
      <w:sz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514C6"/>
    <w:pPr>
      <w:spacing w:after="100" w:line="257" w:lineRule="auto"/>
      <w:ind w:left="220"/>
      <w:jc w:val="both"/>
    </w:pPr>
    <w:rPr>
      <w:rFonts w:ascii="Franklin Gothic Book" w:eastAsiaTheme="minorEastAsia" w:hAnsi="Franklin Gothic Book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514C6"/>
    <w:pPr>
      <w:spacing w:after="100" w:line="257" w:lineRule="auto"/>
      <w:jc w:val="both"/>
    </w:pPr>
    <w:rPr>
      <w:rFonts w:ascii="Franklin Gothic Book" w:eastAsiaTheme="minorEastAsia" w:hAnsi="Franklin Gothic Book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514C6"/>
    <w:pPr>
      <w:spacing w:after="100" w:line="257" w:lineRule="auto"/>
      <w:ind w:left="440"/>
      <w:jc w:val="both"/>
    </w:pPr>
    <w:rPr>
      <w:rFonts w:ascii="Franklin Gothic Book" w:eastAsiaTheme="minorEastAsia" w:hAnsi="Franklin Gothic Book"/>
    </w:rPr>
  </w:style>
  <w:style w:type="paragraph" w:styleId="ListBullet">
    <w:name w:val="List Bullet"/>
    <w:basedOn w:val="Normal"/>
    <w:uiPriority w:val="36"/>
    <w:unhideWhenUsed/>
    <w:qFormat/>
    <w:rsid w:val="001F0753"/>
    <w:pPr>
      <w:numPr>
        <w:numId w:val="8"/>
      </w:numPr>
      <w:spacing w:after="120" w:line="240" w:lineRule="auto"/>
      <w:contextualSpacing/>
    </w:pPr>
    <w:rPr>
      <w:rFonts w:ascii="Gill Sans MT" w:eastAsia="Gill Sans MT" w:hAnsi="Gill Sans MT" w:cs="Times New Roman"/>
      <w:color w:val="000000"/>
      <w:sz w:val="2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07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9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q.nd.gov/MF/BPCC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Schafer, Jacob R.</cp:lastModifiedBy>
  <cp:revision>2</cp:revision>
  <dcterms:created xsi:type="dcterms:W3CDTF">2022-03-23T15:15:00Z</dcterms:created>
  <dcterms:modified xsi:type="dcterms:W3CDTF">2022-03-23T15:15:00Z</dcterms:modified>
</cp:coreProperties>
</file>